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Spec="center" w:tblpY="2011"/>
        <w:tblW w:w="14992" w:type="dxa"/>
        <w:tblLayout w:type="fixed"/>
        <w:tblLook w:val="04A0"/>
      </w:tblPr>
      <w:tblGrid>
        <w:gridCol w:w="2821"/>
        <w:gridCol w:w="1929"/>
        <w:gridCol w:w="2227"/>
        <w:gridCol w:w="1929"/>
        <w:gridCol w:w="2672"/>
        <w:gridCol w:w="2243"/>
        <w:gridCol w:w="1171"/>
      </w:tblGrid>
      <w:tr w:rsidR="00CB409C" w:rsidRPr="00E7299C" w:rsidTr="00717DC5">
        <w:tc>
          <w:tcPr>
            <w:tcW w:w="2821" w:type="dxa"/>
          </w:tcPr>
          <w:p w:rsidR="00CB409C" w:rsidRPr="00E7299C" w:rsidRDefault="00CB409C" w:rsidP="0071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9C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1929" w:type="dxa"/>
          </w:tcPr>
          <w:p w:rsidR="00CB409C" w:rsidRPr="00E7299C" w:rsidRDefault="00CB409C" w:rsidP="00717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9C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организации</w:t>
            </w:r>
          </w:p>
        </w:tc>
        <w:tc>
          <w:tcPr>
            <w:tcW w:w="2227" w:type="dxa"/>
          </w:tcPr>
          <w:p w:rsidR="00CB409C" w:rsidRPr="00E7299C" w:rsidRDefault="00CB409C" w:rsidP="0071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9C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услуги</w:t>
            </w:r>
            <w:proofErr w:type="gramStart"/>
            <w:r w:rsidRPr="00E72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2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29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7299C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время ожидания ее предоставления</w:t>
            </w:r>
          </w:p>
        </w:tc>
        <w:tc>
          <w:tcPr>
            <w:tcW w:w="1929" w:type="dxa"/>
          </w:tcPr>
          <w:p w:rsidR="00CB409C" w:rsidRPr="00E7299C" w:rsidRDefault="00CB409C" w:rsidP="0071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9C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2672" w:type="dxa"/>
          </w:tcPr>
          <w:p w:rsidR="00CB409C" w:rsidRPr="00E7299C" w:rsidRDefault="00CB409C" w:rsidP="0071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9C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  <w:tc>
          <w:tcPr>
            <w:tcW w:w="2243" w:type="dxa"/>
          </w:tcPr>
          <w:p w:rsidR="00CB409C" w:rsidRPr="00E7299C" w:rsidRDefault="00CB409C" w:rsidP="0071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9C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1171" w:type="dxa"/>
            <w:shd w:val="clear" w:color="auto" w:fill="B8CCE4" w:themeFill="accent1" w:themeFillTint="66"/>
          </w:tcPr>
          <w:p w:rsidR="00CB409C" w:rsidRPr="00E7299C" w:rsidRDefault="00CB409C" w:rsidP="00717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9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CB409C" w:rsidRPr="00E7299C" w:rsidRDefault="00CB409C" w:rsidP="00717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09C" w:rsidRPr="00E7299C" w:rsidTr="00717DC5">
        <w:tc>
          <w:tcPr>
            <w:tcW w:w="2821" w:type="dxa"/>
          </w:tcPr>
          <w:p w:rsidR="00CB409C" w:rsidRPr="00E7299C" w:rsidRDefault="00CB409C" w:rsidP="0071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C">
              <w:rPr>
                <w:rFonts w:ascii="Times New Roman" w:hAnsi="Times New Roman" w:cs="Times New Roman"/>
                <w:sz w:val="24"/>
                <w:szCs w:val="24"/>
              </w:rPr>
              <w:t>Комплексный центр социального обслуживания населения Михайловского района</w:t>
            </w:r>
          </w:p>
        </w:tc>
        <w:tc>
          <w:tcPr>
            <w:tcW w:w="1929" w:type="dxa"/>
            <w:vAlign w:val="center"/>
          </w:tcPr>
          <w:p w:rsidR="00CB409C" w:rsidRPr="00E7299C" w:rsidRDefault="00CB409C" w:rsidP="0071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9C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227" w:type="dxa"/>
            <w:vAlign w:val="center"/>
          </w:tcPr>
          <w:p w:rsidR="00CB409C" w:rsidRPr="00E7299C" w:rsidRDefault="00CB409C" w:rsidP="0071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9C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929" w:type="dxa"/>
            <w:vAlign w:val="center"/>
          </w:tcPr>
          <w:p w:rsidR="00CB409C" w:rsidRPr="00E7299C" w:rsidRDefault="00CB409C" w:rsidP="0071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9C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2672" w:type="dxa"/>
            <w:vAlign w:val="center"/>
          </w:tcPr>
          <w:p w:rsidR="00CB409C" w:rsidRPr="00E7299C" w:rsidRDefault="00CB409C" w:rsidP="0071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9C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2243" w:type="dxa"/>
            <w:vAlign w:val="center"/>
          </w:tcPr>
          <w:p w:rsidR="00CB409C" w:rsidRPr="00E7299C" w:rsidRDefault="00CB409C" w:rsidP="0071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9C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171" w:type="dxa"/>
            <w:shd w:val="clear" w:color="auto" w:fill="B8CCE4" w:themeFill="accent1" w:themeFillTint="66"/>
            <w:vAlign w:val="center"/>
          </w:tcPr>
          <w:p w:rsidR="00CB409C" w:rsidRPr="00E7299C" w:rsidRDefault="00CB409C" w:rsidP="00717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9C">
              <w:rPr>
                <w:rFonts w:ascii="Times New Roman" w:hAnsi="Times New Roman" w:cs="Times New Roman"/>
                <w:b/>
                <w:sz w:val="24"/>
                <w:szCs w:val="24"/>
              </w:rPr>
              <w:t>90,26</w:t>
            </w:r>
          </w:p>
        </w:tc>
      </w:tr>
    </w:tbl>
    <w:p w:rsidR="006D7DF6" w:rsidRPr="006D7DF6" w:rsidRDefault="006D7DF6" w:rsidP="006D7DF6">
      <w:pPr>
        <w:spacing w:after="0" w:line="360" w:lineRule="auto"/>
        <w:ind w:firstLineChars="150" w:firstLine="480"/>
        <w:jc w:val="center"/>
        <w:rPr>
          <w:sz w:val="32"/>
          <w:szCs w:val="32"/>
        </w:rPr>
      </w:pPr>
    </w:p>
    <w:p w:rsidR="00CB409C" w:rsidRPr="006D7DF6" w:rsidRDefault="006D7DF6" w:rsidP="006D7DF6">
      <w:pPr>
        <w:spacing w:after="0" w:line="360" w:lineRule="auto"/>
        <w:ind w:firstLineChars="150" w:firstLine="482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6D7DF6">
        <w:rPr>
          <w:b/>
          <w:sz w:val="32"/>
          <w:szCs w:val="32"/>
        </w:rPr>
        <w:t xml:space="preserve">Результаты независимой </w:t>
      </w:r>
      <w:proofErr w:type="gramStart"/>
      <w:r w:rsidRPr="006D7DF6">
        <w:rPr>
          <w:b/>
          <w:sz w:val="32"/>
          <w:szCs w:val="32"/>
        </w:rPr>
        <w:t>оценки качества условий оказания услуг</w:t>
      </w:r>
      <w:proofErr w:type="gramEnd"/>
      <w:r w:rsidRPr="006D7DF6">
        <w:rPr>
          <w:b/>
          <w:sz w:val="32"/>
          <w:szCs w:val="32"/>
        </w:rPr>
        <w:t xml:space="preserve"> в 2019 г.</w:t>
      </w:r>
    </w:p>
    <w:p w:rsidR="00CB409C" w:rsidRPr="006D7DF6" w:rsidRDefault="00CB409C" w:rsidP="00CB409C">
      <w:pPr>
        <w:spacing w:after="0" w:line="240" w:lineRule="auto"/>
        <w:ind w:left="426" w:firstLineChars="150" w:firstLine="422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6D7DF6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КГБУСО «Комплексный центр социального обслуживания населения Михайловского района»</w:t>
      </w:r>
    </w:p>
    <w:p w:rsidR="00D1183E" w:rsidRPr="006D7DF6" w:rsidRDefault="00D1183E" w:rsidP="00CB409C">
      <w:pPr>
        <w:spacing w:after="0" w:line="240" w:lineRule="auto"/>
        <w:ind w:left="426" w:firstLineChars="150" w:firstLine="422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CB409C" w:rsidRPr="000B5B6F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6F">
        <w:rPr>
          <w:rFonts w:ascii="Times New Roman" w:eastAsia="Times New Roman" w:hAnsi="Times New Roman" w:cs="Times New Roman"/>
          <w:sz w:val="28"/>
          <w:szCs w:val="28"/>
        </w:rPr>
        <w:t xml:space="preserve">Оценивая соответствие информации о деятельности организации, размещенной на информационных стендах в помещении организации, эксперт отметил, что все стенды сделаны в едином стиле, вписываются в общее оформление центра, на стендах представлено много полезной информации, вместе с тем, эксперт отмечает необходимость добавить на стенд схему проезда до учреждения. </w:t>
      </w:r>
    </w:p>
    <w:p w:rsidR="00CB409C" w:rsidRPr="000B5B6F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6F">
        <w:rPr>
          <w:rFonts w:ascii="Times New Roman" w:eastAsia="Times New Roman" w:hAnsi="Times New Roman" w:cs="Times New Roman"/>
          <w:sz w:val="28"/>
          <w:szCs w:val="28"/>
        </w:rPr>
        <w:t>Оценивая наличие комфортных условий для предоставления услуг, эксперт отмечает полное соответстви</w:t>
      </w:r>
      <w:r w:rsidRPr="000B5B6F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Pr="000B5B6F">
        <w:rPr>
          <w:rFonts w:ascii="Times New Roman" w:eastAsia="Times New Roman" w:hAnsi="Times New Roman" w:cs="Times New Roman"/>
          <w:sz w:val="28"/>
          <w:szCs w:val="28"/>
        </w:rPr>
        <w:t xml:space="preserve"> существующим требованиям.</w:t>
      </w:r>
    </w:p>
    <w:p w:rsidR="00CB409C" w:rsidRPr="000B5B6F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6F">
        <w:rPr>
          <w:rFonts w:ascii="Times New Roman" w:eastAsia="Times New Roman" w:hAnsi="Times New Roman" w:cs="Times New Roman"/>
          <w:sz w:val="28"/>
          <w:szCs w:val="28"/>
        </w:rPr>
        <w:t xml:space="preserve">Оценивая наличие в учреждении условий доступности, позволяющих инвалидам получать услуги наравне с другими, эксперт отметил, что отсутствует техническая возможность оборудовать санитарно-гигиеническое помещение для инвалидов, так как здание старое. Вместе с тем, эксперт отмечает наличие кнопки вызова персонала на входной зоне, необходимость дооборудовать учреждение расширенным дверным проемом </w:t>
      </w:r>
      <w:proofErr w:type="gramStart"/>
      <w:r w:rsidRPr="000B5B6F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0B5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B5B6F">
        <w:rPr>
          <w:rFonts w:ascii="Times New Roman" w:eastAsia="Times New Roman" w:hAnsi="Times New Roman" w:cs="Times New Roman"/>
          <w:sz w:val="28"/>
          <w:szCs w:val="28"/>
        </w:rPr>
        <w:t xml:space="preserve">входной зоне; звуковыми и световыми </w:t>
      </w:r>
      <w:proofErr w:type="spellStart"/>
      <w:r w:rsidRPr="000B5B6F">
        <w:rPr>
          <w:rFonts w:ascii="Times New Roman" w:eastAsia="Times New Roman" w:hAnsi="Times New Roman" w:cs="Times New Roman"/>
          <w:sz w:val="28"/>
          <w:szCs w:val="28"/>
        </w:rPr>
        <w:t>оповещателями</w:t>
      </w:r>
      <w:proofErr w:type="spellEnd"/>
      <w:r w:rsidRPr="000B5B6F">
        <w:rPr>
          <w:rFonts w:ascii="Times New Roman" w:eastAsia="Times New Roman" w:hAnsi="Times New Roman" w:cs="Times New Roman"/>
          <w:sz w:val="28"/>
          <w:szCs w:val="28"/>
        </w:rPr>
        <w:t xml:space="preserve"> (маяки), бегущей строкой (дублирование для инвалидов по слуху и зрению звуковой и зрительной информации); </w:t>
      </w:r>
      <w:r w:rsidRPr="002E53FF">
        <w:rPr>
          <w:rFonts w:ascii="Times New Roman" w:eastAsia="Times New Roman" w:hAnsi="Times New Roman" w:cs="Times New Roman"/>
          <w:sz w:val="28"/>
          <w:szCs w:val="28"/>
        </w:rPr>
        <w:t xml:space="preserve">информирующими тактильными табличками для людей с нарушением зрения, выполненных с использованием рельефных знаков и символов, а также рельефно-точечного </w:t>
      </w:r>
      <w:r w:rsidRPr="002E53FF">
        <w:rPr>
          <w:rFonts w:ascii="Times New Roman" w:eastAsia="Times New Roman" w:hAnsi="Times New Roman" w:cs="Times New Roman"/>
          <w:sz w:val="28"/>
          <w:szCs w:val="28"/>
        </w:rPr>
        <w:lastRenderedPageBreak/>
        <w:t>шрифта Брайля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B5B6F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возможность предоставления инвалидам по слуху (по слуху и зрению) услуг </w:t>
      </w:r>
      <w:proofErr w:type="spellStart"/>
      <w:r w:rsidRPr="000B5B6F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0B5B6F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0B5B6F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B5B6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B409C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сайт учреждения, на момент проверки экспертом (ноябрь 2019 г.) сайт учреждения был размещен на отдельных страницах на сайте учредителя, на момент подготовки аналитического отчета организация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разместила ссылку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официальный сайт, который соответствует необходимым требованиям. Эксперт отмечает необходимость добавить на сайт раздел «Часто задаваемые вопросы», обеспечить работоспособность раздела сайта «Диспетчер обращений».</w:t>
      </w:r>
    </w:p>
    <w:p w:rsidR="00CB409C" w:rsidRPr="000B5B6F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B61">
        <w:rPr>
          <w:rFonts w:ascii="Times New Roman" w:eastAsia="Times New Roman" w:hAnsi="Times New Roman" w:cs="Times New Roman"/>
          <w:sz w:val="28"/>
          <w:szCs w:val="28"/>
        </w:rPr>
        <w:t>Оценивая работоспособность дистанционных способов взаимодействия с получателями (контрольные звонки и электронные письма), был получен полный, доброжелательный и вежливый ответ по телефону, а также по электронной почте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09C" w:rsidRPr="000B5B6F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6F">
        <w:rPr>
          <w:rFonts w:ascii="Times New Roman" w:eastAsia="Times New Roman" w:hAnsi="Times New Roman" w:cs="Times New Roman"/>
          <w:sz w:val="28"/>
          <w:szCs w:val="28"/>
        </w:rPr>
        <w:t>Участие в опросе приняли 100 получателей услуг, 82 процента из них при посещении Центра обращались к информац</w:t>
      </w:r>
      <w:proofErr w:type="gramStart"/>
      <w:r w:rsidRPr="000B5B6F">
        <w:rPr>
          <w:rFonts w:ascii="Times New Roman" w:eastAsia="Times New Roman" w:hAnsi="Times New Roman" w:cs="Times New Roman"/>
          <w:sz w:val="28"/>
          <w:szCs w:val="28"/>
        </w:rPr>
        <w:t>ии о е</w:t>
      </w:r>
      <w:proofErr w:type="gramEnd"/>
      <w:r w:rsidRPr="000B5B6F">
        <w:rPr>
          <w:rFonts w:ascii="Times New Roman" w:eastAsia="Times New Roman" w:hAnsi="Times New Roman" w:cs="Times New Roman"/>
          <w:sz w:val="28"/>
          <w:szCs w:val="28"/>
        </w:rPr>
        <w:t>го деятельности, размещённой на информационных стендах в помещениях Центра. Открытостью и доступность данной информации удовлетворён 81 процент опрошенных получателей услуг.</w:t>
      </w:r>
    </w:p>
    <w:p w:rsidR="00CB409C" w:rsidRPr="000B5B6F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6F">
        <w:rPr>
          <w:rFonts w:ascii="Times New Roman" w:eastAsia="Times New Roman" w:hAnsi="Times New Roman" w:cs="Times New Roman"/>
          <w:sz w:val="28"/>
          <w:szCs w:val="28"/>
        </w:rPr>
        <w:t>59 процентов опрошенных получателей услуг пользовались официальным сайтом Центра, для получения информац</w:t>
      </w:r>
      <w:proofErr w:type="gramStart"/>
      <w:r w:rsidRPr="000B5B6F">
        <w:rPr>
          <w:rFonts w:ascii="Times New Roman" w:eastAsia="Times New Roman" w:hAnsi="Times New Roman" w:cs="Times New Roman"/>
          <w:sz w:val="28"/>
          <w:szCs w:val="28"/>
        </w:rPr>
        <w:t>ии о е</w:t>
      </w:r>
      <w:proofErr w:type="gramEnd"/>
      <w:r w:rsidRPr="000B5B6F">
        <w:rPr>
          <w:rFonts w:ascii="Times New Roman" w:eastAsia="Times New Roman" w:hAnsi="Times New Roman" w:cs="Times New Roman"/>
          <w:sz w:val="28"/>
          <w:szCs w:val="28"/>
        </w:rPr>
        <w:t>го деятельности, 58 процентов удовлетворены открытостью, полнотой и доступностью данной информации.</w:t>
      </w:r>
    </w:p>
    <w:p w:rsidR="00CB409C" w:rsidRPr="000B5B6F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6F">
        <w:rPr>
          <w:rFonts w:ascii="Times New Roman" w:eastAsia="Times New Roman" w:hAnsi="Times New Roman" w:cs="Times New Roman"/>
          <w:sz w:val="28"/>
          <w:szCs w:val="28"/>
        </w:rPr>
        <w:t>На вопрос: «Своевременно ли Вам предоставляются услуги в Центре (в соответствии со временем записи на приём к специалисту (консультацию), со сроками, установленными индивидуальной программой предоставления социальных услуг)?», положительно ответили 87 процентов опрошенных получателей услуг.</w:t>
      </w:r>
    </w:p>
    <w:p w:rsidR="00CB409C" w:rsidRPr="000B5B6F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6F">
        <w:rPr>
          <w:rFonts w:ascii="Times New Roman" w:eastAsia="Times New Roman" w:hAnsi="Times New Roman" w:cs="Times New Roman"/>
          <w:sz w:val="28"/>
          <w:szCs w:val="28"/>
        </w:rPr>
        <w:t>Комфортностью условий предоставления услуг в Центре удовлетворены 82 процента опрошенных получателей услуг.</w:t>
      </w:r>
    </w:p>
    <w:p w:rsidR="00CB409C" w:rsidRPr="000B5B6F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6F">
        <w:rPr>
          <w:rFonts w:ascii="Times New Roman" w:eastAsia="Times New Roman" w:hAnsi="Times New Roman" w:cs="Times New Roman"/>
          <w:sz w:val="28"/>
          <w:szCs w:val="28"/>
        </w:rPr>
        <w:t>Установленную группу инвалидности имеют 51 процент опрошенных получателей услуг или лиц, представителями которых они являлись, 49 процентов удовлетворены доступностью предоставления услуг для инвалидов в Центре.</w:t>
      </w:r>
    </w:p>
    <w:p w:rsidR="00CB409C" w:rsidRPr="000B5B6F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6F">
        <w:rPr>
          <w:rFonts w:ascii="Times New Roman" w:eastAsia="Times New Roman" w:hAnsi="Times New Roman" w:cs="Times New Roman"/>
          <w:sz w:val="28"/>
          <w:szCs w:val="28"/>
        </w:rPr>
        <w:t xml:space="preserve">Доброжелательностью и вежливостью работников Центра, обеспечивающих первичный контакт с посетителями и информирование об услугах при непосредственном обращении в Центр </w:t>
      </w:r>
      <w:proofErr w:type="gramStart"/>
      <w:r w:rsidRPr="000B5B6F">
        <w:rPr>
          <w:rFonts w:ascii="Times New Roman" w:eastAsia="Times New Roman" w:hAnsi="Times New Roman" w:cs="Times New Roman"/>
          <w:sz w:val="28"/>
          <w:szCs w:val="28"/>
        </w:rPr>
        <w:t>удовлетворены</w:t>
      </w:r>
      <w:proofErr w:type="gramEnd"/>
      <w:r w:rsidRPr="000B5B6F">
        <w:rPr>
          <w:rFonts w:ascii="Times New Roman" w:eastAsia="Times New Roman" w:hAnsi="Times New Roman" w:cs="Times New Roman"/>
          <w:sz w:val="28"/>
          <w:szCs w:val="28"/>
        </w:rPr>
        <w:t xml:space="preserve"> 86 процентов опрошенных получателей услуг. </w:t>
      </w:r>
    </w:p>
    <w:p w:rsidR="00CB409C" w:rsidRPr="000B5B6F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6F">
        <w:rPr>
          <w:rFonts w:ascii="Times New Roman" w:eastAsia="Times New Roman" w:hAnsi="Times New Roman" w:cs="Times New Roman"/>
          <w:sz w:val="28"/>
          <w:szCs w:val="28"/>
        </w:rPr>
        <w:lastRenderedPageBreak/>
        <w:t>87 процентов опрошенных получателей услуг удовлетворены доброжелательностью и вежливостью специалистов Центра, обеспечивающих непосредственное оказание услуги.</w:t>
      </w:r>
    </w:p>
    <w:p w:rsidR="00CB409C" w:rsidRPr="000B5B6F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6F">
        <w:rPr>
          <w:rFonts w:ascii="Times New Roman" w:eastAsia="Times New Roman" w:hAnsi="Times New Roman" w:cs="Times New Roman"/>
          <w:sz w:val="28"/>
          <w:szCs w:val="28"/>
        </w:rPr>
        <w:t>Дистанционными способами взаимодействия с Центром пользовались 79 процентов опрошенных получателей услуг, них 79 процентов удовлетворены доброжелательностью и вежливостью специалистов Центра, с которыми они взаимодействовали в дистанционной форме.</w:t>
      </w:r>
    </w:p>
    <w:p w:rsidR="00CB409C" w:rsidRPr="000B5B6F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6F">
        <w:rPr>
          <w:rFonts w:ascii="Times New Roman" w:eastAsia="Times New Roman" w:hAnsi="Times New Roman" w:cs="Times New Roman"/>
          <w:sz w:val="28"/>
          <w:szCs w:val="28"/>
        </w:rPr>
        <w:t>Готовность рекомендовать данный Центр родственникам и знакомым выразили 83 процента опрошенных получателей услуг.</w:t>
      </w:r>
    </w:p>
    <w:p w:rsidR="00CB409C" w:rsidRPr="00B112DD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2DD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Организационными условиями предоставления услуг  данным Центром удовлетворены 88 процентов опрошенных получателей услуг. В целом условиями оказания услуг в организации удовлетворены 85 процентов опрошенных получателей. </w:t>
      </w:r>
    </w:p>
    <w:p w:rsidR="00CB409C" w:rsidRPr="000B5B6F" w:rsidRDefault="00CB409C" w:rsidP="00CB409C">
      <w:pPr>
        <w:tabs>
          <w:tab w:val="left" w:pos="5259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6F">
        <w:rPr>
          <w:rFonts w:ascii="Times New Roman" w:eastAsia="Times New Roman" w:hAnsi="Times New Roman" w:cs="Times New Roman"/>
          <w:sz w:val="28"/>
          <w:szCs w:val="28"/>
        </w:rPr>
        <w:t xml:space="preserve">Получатели в качестве пожеланий по улучшению условий оказания услуг в данной организации, говорили, что рабочие кабинеты специалистов очень тесные, для улучшения условий оказания услуг в данной организации, необходимо расширение рабочих мест специалистов. Также говорили, что в учреждении </w:t>
      </w:r>
      <w:proofErr w:type="gramStart"/>
      <w:r w:rsidRPr="000B5B6F">
        <w:rPr>
          <w:rFonts w:ascii="Times New Roman" w:eastAsia="Times New Roman" w:hAnsi="Times New Roman" w:cs="Times New Roman"/>
          <w:sz w:val="28"/>
          <w:szCs w:val="28"/>
        </w:rPr>
        <w:t>необходим</w:t>
      </w:r>
      <w:proofErr w:type="gramEnd"/>
      <w:r w:rsidRPr="000B5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B6F">
        <w:rPr>
          <w:rFonts w:ascii="Times New Roman" w:eastAsia="Times New Roman" w:hAnsi="Times New Roman" w:cs="Times New Roman"/>
          <w:sz w:val="28"/>
          <w:szCs w:val="28"/>
        </w:rPr>
        <w:t>кулер</w:t>
      </w:r>
      <w:proofErr w:type="spellEnd"/>
      <w:r w:rsidRPr="000B5B6F">
        <w:rPr>
          <w:rFonts w:ascii="Times New Roman" w:eastAsia="Times New Roman" w:hAnsi="Times New Roman" w:cs="Times New Roman"/>
          <w:sz w:val="28"/>
          <w:szCs w:val="28"/>
        </w:rPr>
        <w:t xml:space="preserve"> с питьевой водой, и что необходимо повысить зарплату специалистам потому что: «Жалко, что таким хорошим людям платят такую маленькую зарплату».</w:t>
      </w:r>
    </w:p>
    <w:p w:rsidR="00A70187" w:rsidRDefault="00A70187"/>
    <w:sectPr w:rsidR="00A70187" w:rsidSect="00CB40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107" w:rsidRDefault="00151107" w:rsidP="001E0C64">
      <w:pPr>
        <w:spacing w:after="0" w:line="240" w:lineRule="auto"/>
      </w:pPr>
      <w:r>
        <w:separator/>
      </w:r>
    </w:p>
  </w:endnote>
  <w:endnote w:type="continuationSeparator" w:id="0">
    <w:p w:rsidR="00151107" w:rsidRDefault="00151107" w:rsidP="001E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64" w:rsidRDefault="001E0C6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64" w:rsidRDefault="001E0C6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64" w:rsidRDefault="001E0C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107" w:rsidRDefault="00151107" w:rsidP="001E0C64">
      <w:pPr>
        <w:spacing w:after="0" w:line="240" w:lineRule="auto"/>
      </w:pPr>
      <w:r>
        <w:separator/>
      </w:r>
    </w:p>
  </w:footnote>
  <w:footnote w:type="continuationSeparator" w:id="0">
    <w:p w:rsidR="00151107" w:rsidRDefault="00151107" w:rsidP="001E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64" w:rsidRDefault="001E0C6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64" w:rsidRDefault="001E0C6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64" w:rsidRDefault="001E0C6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09C"/>
    <w:rsid w:val="00151107"/>
    <w:rsid w:val="001E0366"/>
    <w:rsid w:val="001E0C64"/>
    <w:rsid w:val="002D61C6"/>
    <w:rsid w:val="006D7DF6"/>
    <w:rsid w:val="0086532C"/>
    <w:rsid w:val="00A70187"/>
    <w:rsid w:val="00C67937"/>
    <w:rsid w:val="00CB409C"/>
    <w:rsid w:val="00D1183E"/>
    <w:rsid w:val="00F5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9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409C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i/>
      <w:color w:val="365F91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409C"/>
    <w:rPr>
      <w:rFonts w:ascii="Times New Roman" w:eastAsiaTheme="majorEastAsia" w:hAnsi="Times New Roman" w:cstheme="majorBidi"/>
      <w:b/>
      <w:i/>
      <w:color w:val="365F91" w:themeColor="accent1" w:themeShade="BF"/>
      <w:sz w:val="28"/>
      <w:szCs w:val="26"/>
      <w:lang w:eastAsia="ru-RU"/>
    </w:rPr>
  </w:style>
  <w:style w:type="table" w:styleId="a3">
    <w:name w:val="Table Grid"/>
    <w:basedOn w:val="a1"/>
    <w:uiPriority w:val="59"/>
    <w:rsid w:val="00CB40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E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0C6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E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0C6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</Words>
  <Characters>4312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6</cp:revision>
  <dcterms:created xsi:type="dcterms:W3CDTF">2020-05-12T04:55:00Z</dcterms:created>
  <dcterms:modified xsi:type="dcterms:W3CDTF">2020-05-12T05:30:00Z</dcterms:modified>
</cp:coreProperties>
</file>